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E1F2C">
      <w:pPr>
        <w:snapToGrid w:val="0"/>
        <w:spacing w:after="312" w:afterLines="100" w:line="560" w:lineRule="exact"/>
        <w:rPr>
          <w:rFonts w:eastAsia="黑体"/>
          <w:bCs/>
          <w:sz w:val="32"/>
          <w:szCs w:val="32"/>
        </w:rPr>
      </w:pPr>
      <w:r>
        <w:rPr>
          <w:rFonts w:eastAsia="黑体"/>
          <w:bCs/>
          <w:sz w:val="32"/>
          <w:szCs w:val="32"/>
        </w:rPr>
        <w:t>附件</w:t>
      </w:r>
      <w:r>
        <w:rPr>
          <w:rFonts w:hint="eastAsia" w:eastAsia="黑体"/>
          <w:bCs/>
          <w:sz w:val="32"/>
          <w:szCs w:val="32"/>
        </w:rPr>
        <w:t>1</w:t>
      </w:r>
    </w:p>
    <w:p w14:paraId="4EB2BCD3">
      <w:pPr>
        <w:widowControl/>
        <w:spacing w:line="360" w:lineRule="auto"/>
        <w:jc w:val="center"/>
        <w:rPr>
          <w:rFonts w:eastAsia="黑体"/>
          <w:b/>
          <w:sz w:val="72"/>
          <w:szCs w:val="72"/>
        </w:rPr>
      </w:pPr>
    </w:p>
    <w:p w14:paraId="1602756A">
      <w:pPr>
        <w:widowControl/>
        <w:spacing w:line="360" w:lineRule="auto"/>
        <w:jc w:val="center"/>
        <w:rPr>
          <w:rFonts w:eastAsia="黑体"/>
          <w:b/>
          <w:sz w:val="72"/>
          <w:szCs w:val="72"/>
        </w:rPr>
      </w:pPr>
    </w:p>
    <w:p w14:paraId="6A71B268">
      <w:pPr>
        <w:widowControl/>
        <w:spacing w:line="360" w:lineRule="auto"/>
        <w:jc w:val="center"/>
        <w:rPr>
          <w:rFonts w:eastAsia="黑体"/>
          <w:b/>
          <w:sz w:val="72"/>
          <w:szCs w:val="72"/>
        </w:rPr>
      </w:pPr>
      <w:r>
        <w:rPr>
          <w:rFonts w:hint="eastAsia" w:eastAsia="黑体"/>
          <w:b/>
          <w:sz w:val="72"/>
          <w:szCs w:val="72"/>
        </w:rPr>
        <w:t>化妆品稳定性测试评估</w:t>
      </w:r>
    </w:p>
    <w:p w14:paraId="775F2D9C">
      <w:pPr>
        <w:widowControl/>
        <w:spacing w:line="360" w:lineRule="auto"/>
        <w:jc w:val="center"/>
        <w:rPr>
          <w:rFonts w:eastAsia="黑体"/>
          <w:b/>
          <w:sz w:val="72"/>
          <w:szCs w:val="72"/>
        </w:rPr>
      </w:pPr>
      <w:r>
        <w:rPr>
          <w:rFonts w:hint="eastAsia" w:eastAsia="黑体"/>
          <w:b/>
          <w:sz w:val="72"/>
          <w:szCs w:val="72"/>
        </w:rPr>
        <w:t>技术指南</w:t>
      </w:r>
    </w:p>
    <w:p w14:paraId="675E7B21">
      <w:pPr>
        <w:widowControl/>
        <w:spacing w:line="360" w:lineRule="auto"/>
        <w:jc w:val="center"/>
        <w:rPr>
          <w:rFonts w:eastAsia="黑体"/>
          <w:b/>
          <w:sz w:val="48"/>
          <w:szCs w:val="48"/>
        </w:rPr>
      </w:pPr>
    </w:p>
    <w:p w14:paraId="6C8A8FB6">
      <w:pPr>
        <w:widowControl/>
        <w:spacing w:line="360" w:lineRule="auto"/>
        <w:jc w:val="center"/>
        <w:rPr>
          <w:rFonts w:eastAsia="黑体"/>
          <w:b/>
          <w:sz w:val="72"/>
          <w:szCs w:val="72"/>
        </w:rPr>
      </w:pPr>
    </w:p>
    <w:p w14:paraId="3935F9CA">
      <w:pPr>
        <w:widowControl/>
        <w:spacing w:line="360" w:lineRule="auto"/>
        <w:jc w:val="center"/>
        <w:rPr>
          <w:rFonts w:eastAsia="黑体"/>
          <w:b/>
          <w:sz w:val="72"/>
          <w:szCs w:val="72"/>
        </w:rPr>
      </w:pPr>
    </w:p>
    <w:p w14:paraId="66BC8948">
      <w:pPr>
        <w:widowControl/>
        <w:spacing w:line="360" w:lineRule="auto"/>
        <w:jc w:val="center"/>
        <w:rPr>
          <w:rFonts w:eastAsia="黑体"/>
          <w:b/>
          <w:sz w:val="72"/>
          <w:szCs w:val="72"/>
        </w:rPr>
      </w:pPr>
    </w:p>
    <w:p w14:paraId="26C4CF67">
      <w:pPr>
        <w:widowControl/>
        <w:spacing w:line="360" w:lineRule="auto"/>
        <w:jc w:val="center"/>
        <w:rPr>
          <w:rFonts w:eastAsia="黑体"/>
          <w:b/>
          <w:sz w:val="72"/>
          <w:szCs w:val="72"/>
        </w:rPr>
      </w:pPr>
    </w:p>
    <w:p w14:paraId="69EB7342">
      <w:pPr>
        <w:widowControl/>
        <w:spacing w:line="360" w:lineRule="auto"/>
        <w:jc w:val="center"/>
        <w:rPr>
          <w:rFonts w:eastAsia="黑体"/>
          <w:b/>
          <w:sz w:val="72"/>
          <w:szCs w:val="72"/>
        </w:rPr>
      </w:pPr>
    </w:p>
    <w:p w14:paraId="143FEB08">
      <w:pPr>
        <w:widowControl/>
        <w:jc w:val="center"/>
        <w:rPr>
          <w:rFonts w:ascii="楷体" w:hAnsi="楷体" w:eastAsia="楷体"/>
          <w:sz w:val="44"/>
          <w:szCs w:val="44"/>
        </w:rPr>
      </w:pPr>
      <w:r>
        <w:rPr>
          <w:rFonts w:ascii="楷体" w:hAnsi="楷体" w:eastAsia="楷体"/>
          <w:sz w:val="44"/>
          <w:szCs w:val="44"/>
        </w:rPr>
        <w:t>中国食品药品检定研究院</w:t>
      </w:r>
    </w:p>
    <w:p w14:paraId="13D16C5D">
      <w:pPr>
        <w:spacing w:before="156" w:beforeLines="50" w:after="156" w:afterLines="50" w:line="660" w:lineRule="exact"/>
        <w:jc w:val="center"/>
        <w:rPr>
          <w:rFonts w:eastAsia="方正小标宋简体"/>
          <w:sz w:val="44"/>
          <w:szCs w:val="44"/>
        </w:rPr>
      </w:pPr>
    </w:p>
    <w:sdt>
      <w:sdtPr>
        <w:rPr>
          <w:rFonts w:hint="eastAsia"/>
          <w:color w:val="auto"/>
          <w:sz w:val="32"/>
          <w:szCs w:val="32"/>
          <w:lang w:val="en-US"/>
        </w:rPr>
        <w:id w:val="-1360812175"/>
        <w:docPartObj>
          <w:docPartGallery w:val="Table of Contents"/>
          <w:docPartUnique/>
        </w:docPartObj>
      </w:sdtPr>
      <w:sdtEndPr>
        <w:rPr>
          <w:rFonts w:hint="default" w:eastAsia="仿宋_GB2312"/>
          <w:b/>
          <w:bCs/>
          <w:color w:val="auto"/>
          <w:sz w:val="28"/>
          <w:szCs w:val="28"/>
          <w:lang w:val="en-US"/>
        </w:rPr>
      </w:sdtEndPr>
      <w:sdtContent>
        <w:p w14:paraId="6436E16F">
          <w:pPr>
            <w:pStyle w:val="22"/>
            <w:spacing w:before="156" w:after="156"/>
            <w:ind w:firstLine="643"/>
            <w:rPr>
              <w:color w:val="auto"/>
              <w:sz w:val="32"/>
              <w:szCs w:val="32"/>
              <w:lang w:val="en-US"/>
            </w:rPr>
          </w:pPr>
        </w:p>
        <w:p w14:paraId="28733B43">
          <w:pPr>
            <w:pStyle w:val="22"/>
            <w:spacing w:before="156" w:after="156"/>
            <w:ind w:firstLine="0"/>
            <w:rPr>
              <w:rFonts w:ascii="方正小标宋简体" w:eastAsia="方正小标宋简体"/>
            </w:rPr>
          </w:pPr>
          <w:r>
            <w:rPr>
              <w:rFonts w:hint="eastAsia" w:ascii="方正小标宋简体" w:eastAsia="方正小标宋简体"/>
              <w:sz w:val="44"/>
              <w:szCs w:val="44"/>
            </w:rPr>
            <w:t>目  录</w:t>
          </w:r>
        </w:p>
        <w:p w14:paraId="5436CC03">
          <w:pPr>
            <w:pStyle w:val="11"/>
            <w:rPr>
              <w:rFonts w:asciiTheme="minorHAnsi" w:hAnsiTheme="minorHAnsi" w:eastAsiaTheme="minorEastAsia" w:cstheme="minorBidi"/>
              <w:sz w:val="22"/>
              <w:szCs w:val="24"/>
              <w14:ligatures w14:val="standardContextual"/>
            </w:rPr>
          </w:pPr>
          <w:r>
            <w:rPr>
              <w:rFonts w:eastAsia="宋体"/>
              <w:sz w:val="28"/>
              <w:szCs w:val="28"/>
            </w:rPr>
            <w:fldChar w:fldCharType="begin"/>
          </w:r>
          <w:r>
            <w:rPr>
              <w:sz w:val="28"/>
              <w:szCs w:val="28"/>
            </w:rPr>
            <w:instrText xml:space="preserve"> TOC \o "1-3" \h \z \u </w:instrText>
          </w:r>
          <w:r>
            <w:rPr>
              <w:rFonts w:eastAsia="宋体"/>
              <w:sz w:val="28"/>
              <w:szCs w:val="28"/>
            </w:rPr>
            <w:fldChar w:fldCharType="separate"/>
          </w:r>
          <w:r>
            <w:fldChar w:fldCharType="begin"/>
          </w:r>
          <w:r>
            <w:instrText xml:space="preserve"> HYPERLINK \l "_Toc170369666" </w:instrText>
          </w:r>
          <w:r>
            <w:fldChar w:fldCharType="separate"/>
          </w:r>
          <w:r>
            <w:rPr>
              <w:rStyle w:val="17"/>
            </w:rPr>
            <w:t>一、范围</w:t>
          </w:r>
          <w:r>
            <w:tab/>
          </w:r>
          <w:r>
            <w:fldChar w:fldCharType="begin"/>
          </w:r>
          <w:r>
            <w:instrText xml:space="preserve"> PAGEREF _Toc170369666 \h </w:instrText>
          </w:r>
          <w:r>
            <w:fldChar w:fldCharType="separate"/>
          </w:r>
          <w:r>
            <w:t>1</w:t>
          </w:r>
          <w:r>
            <w:fldChar w:fldCharType="end"/>
          </w:r>
          <w:r>
            <w:fldChar w:fldCharType="end"/>
          </w:r>
        </w:p>
        <w:p w14:paraId="553D688E">
          <w:pPr>
            <w:pStyle w:val="11"/>
            <w:rPr>
              <w:rFonts w:asciiTheme="minorHAnsi" w:hAnsiTheme="minorHAnsi" w:eastAsiaTheme="minorEastAsia" w:cstheme="minorBidi"/>
              <w:sz w:val="22"/>
              <w:szCs w:val="24"/>
              <w14:ligatures w14:val="standardContextual"/>
            </w:rPr>
          </w:pPr>
          <w:r>
            <w:fldChar w:fldCharType="begin"/>
          </w:r>
          <w:r>
            <w:instrText xml:space="preserve"> HYPERLINK \l "_Toc170369667" </w:instrText>
          </w:r>
          <w:r>
            <w:fldChar w:fldCharType="separate"/>
          </w:r>
          <w:r>
            <w:rPr>
              <w:rStyle w:val="17"/>
            </w:rPr>
            <w:t>二、术语和释义</w:t>
          </w:r>
          <w:r>
            <w:tab/>
          </w:r>
          <w:r>
            <w:fldChar w:fldCharType="begin"/>
          </w:r>
          <w:r>
            <w:instrText xml:space="preserve"> PAGEREF _Toc170369667 \h </w:instrText>
          </w:r>
          <w:r>
            <w:fldChar w:fldCharType="separate"/>
          </w:r>
          <w:r>
            <w:t>1</w:t>
          </w:r>
          <w:r>
            <w:fldChar w:fldCharType="end"/>
          </w:r>
          <w:r>
            <w:fldChar w:fldCharType="end"/>
          </w:r>
        </w:p>
        <w:p w14:paraId="2FE0E4C8">
          <w:pPr>
            <w:pStyle w:val="11"/>
            <w:rPr>
              <w:rFonts w:asciiTheme="minorHAnsi" w:hAnsiTheme="minorHAnsi" w:eastAsiaTheme="minorEastAsia" w:cstheme="minorBidi"/>
              <w:sz w:val="22"/>
              <w:szCs w:val="24"/>
              <w14:ligatures w14:val="standardContextual"/>
            </w:rPr>
          </w:pPr>
          <w:r>
            <w:fldChar w:fldCharType="begin"/>
          </w:r>
          <w:r>
            <w:instrText xml:space="preserve"> HYPERLINK \l "_Toc170369668" </w:instrText>
          </w:r>
          <w:r>
            <w:fldChar w:fldCharType="separate"/>
          </w:r>
          <w:r>
            <w:rPr>
              <w:rStyle w:val="17"/>
            </w:rPr>
            <w:t>三、试验要求</w:t>
          </w:r>
          <w:r>
            <w:tab/>
          </w:r>
          <w:r>
            <w:fldChar w:fldCharType="begin"/>
          </w:r>
          <w:r>
            <w:instrText xml:space="preserve"> PAGEREF _Toc170369668 \h </w:instrText>
          </w:r>
          <w:r>
            <w:fldChar w:fldCharType="separate"/>
          </w:r>
          <w:r>
            <w:t>1</w:t>
          </w:r>
          <w:r>
            <w:fldChar w:fldCharType="end"/>
          </w:r>
          <w:r>
            <w:fldChar w:fldCharType="end"/>
          </w:r>
        </w:p>
        <w:p w14:paraId="61B59449">
          <w:pPr>
            <w:pStyle w:val="11"/>
            <w:rPr>
              <w:rFonts w:asciiTheme="minorHAnsi" w:hAnsiTheme="minorHAnsi" w:eastAsiaTheme="minorEastAsia" w:cstheme="minorBidi"/>
              <w:sz w:val="22"/>
              <w:szCs w:val="24"/>
              <w14:ligatures w14:val="standardContextual"/>
            </w:rPr>
          </w:pPr>
          <w:r>
            <w:fldChar w:fldCharType="begin"/>
          </w:r>
          <w:r>
            <w:instrText xml:space="preserve"> HYPERLINK \l "_Toc170369669" </w:instrText>
          </w:r>
          <w:r>
            <w:fldChar w:fldCharType="separate"/>
          </w:r>
          <w:r>
            <w:rPr>
              <w:rStyle w:val="17"/>
            </w:rPr>
            <w:t>四、试验方法</w:t>
          </w:r>
          <w:r>
            <w:tab/>
          </w:r>
          <w:r>
            <w:fldChar w:fldCharType="begin"/>
          </w:r>
          <w:r>
            <w:instrText xml:space="preserve"> PAGEREF _Toc170369669 \h </w:instrText>
          </w:r>
          <w:r>
            <w:fldChar w:fldCharType="separate"/>
          </w:r>
          <w:r>
            <w:t>2</w:t>
          </w:r>
          <w:r>
            <w:fldChar w:fldCharType="end"/>
          </w:r>
          <w:r>
            <w:fldChar w:fldCharType="end"/>
          </w:r>
        </w:p>
        <w:p w14:paraId="0E06A73D">
          <w:pPr>
            <w:pStyle w:val="11"/>
            <w:rPr>
              <w:rFonts w:asciiTheme="minorHAnsi" w:hAnsiTheme="minorHAnsi" w:eastAsiaTheme="minorEastAsia" w:cstheme="minorBidi"/>
              <w:sz w:val="22"/>
              <w:szCs w:val="24"/>
              <w14:ligatures w14:val="standardContextual"/>
            </w:rPr>
          </w:pPr>
          <w:r>
            <w:fldChar w:fldCharType="begin"/>
          </w:r>
          <w:r>
            <w:instrText xml:space="preserve"> HYPERLINK \l "_Toc170369670" </w:instrText>
          </w:r>
          <w:r>
            <w:fldChar w:fldCharType="separate"/>
          </w:r>
          <w:r>
            <w:rPr>
              <w:rStyle w:val="17"/>
            </w:rPr>
            <w:t>五、结果评价</w:t>
          </w:r>
          <w:r>
            <w:tab/>
          </w:r>
          <w:r>
            <w:fldChar w:fldCharType="begin"/>
          </w:r>
          <w:r>
            <w:instrText xml:space="preserve"> PAGEREF _Toc170369670 \h </w:instrText>
          </w:r>
          <w:r>
            <w:fldChar w:fldCharType="separate"/>
          </w:r>
          <w:r>
            <w:t>3</w:t>
          </w:r>
          <w:r>
            <w:fldChar w:fldCharType="end"/>
          </w:r>
          <w:r>
            <w:fldChar w:fldCharType="end"/>
          </w:r>
        </w:p>
        <w:p w14:paraId="304A8629">
          <w:pPr>
            <w:pStyle w:val="11"/>
            <w:rPr>
              <w:rFonts w:asciiTheme="minorHAnsi" w:hAnsiTheme="minorHAnsi" w:eastAsiaTheme="minorEastAsia" w:cstheme="minorBidi"/>
              <w:sz w:val="22"/>
              <w:szCs w:val="24"/>
              <w14:ligatures w14:val="standardContextual"/>
            </w:rPr>
          </w:pPr>
          <w:r>
            <w:fldChar w:fldCharType="begin"/>
          </w:r>
          <w:r>
            <w:instrText xml:space="preserve"> HYPERLINK \l "_Toc170369671" </w:instrText>
          </w:r>
          <w:r>
            <w:fldChar w:fldCharType="separate"/>
          </w:r>
          <w:r>
            <w:rPr>
              <w:rStyle w:val="17"/>
            </w:rPr>
            <w:t>六、说明</w:t>
          </w:r>
          <w:r>
            <w:tab/>
          </w:r>
          <w:r>
            <w:fldChar w:fldCharType="begin"/>
          </w:r>
          <w:r>
            <w:instrText xml:space="preserve"> PAGEREF _Toc170369671 \h </w:instrText>
          </w:r>
          <w:r>
            <w:fldChar w:fldCharType="separate"/>
          </w:r>
          <w:r>
            <w:t>4</w:t>
          </w:r>
          <w:r>
            <w:fldChar w:fldCharType="end"/>
          </w:r>
          <w:r>
            <w:fldChar w:fldCharType="end"/>
          </w:r>
        </w:p>
        <w:p w14:paraId="5E9CC1AC">
          <w:pPr>
            <w:spacing w:before="156" w:beforeLines="50" w:after="156" w:afterLines="50" w:line="660" w:lineRule="exact"/>
            <w:ind w:firstLine="560"/>
            <w:jc w:val="center"/>
            <w:rPr>
              <w:rFonts w:eastAsia="仿宋_GB2312"/>
              <w:b/>
              <w:bCs/>
              <w:sz w:val="28"/>
              <w:szCs w:val="28"/>
            </w:rPr>
          </w:pPr>
          <w:r>
            <w:rPr>
              <w:rFonts w:eastAsia="仿宋_GB2312"/>
              <w:b/>
              <w:bCs/>
              <w:sz w:val="28"/>
              <w:szCs w:val="28"/>
              <w:lang w:val="zh-CN"/>
            </w:rPr>
            <w:fldChar w:fldCharType="end"/>
          </w:r>
        </w:p>
      </w:sdtContent>
    </w:sdt>
    <w:p w14:paraId="3EBEBDB3">
      <w:pPr>
        <w:spacing w:before="156" w:beforeLines="50" w:after="156" w:afterLines="50" w:line="660" w:lineRule="exact"/>
        <w:ind w:firstLine="560"/>
        <w:jc w:val="center"/>
        <w:rPr>
          <w:rFonts w:eastAsia="仿宋_GB2312"/>
          <w:b/>
          <w:bCs/>
          <w:sz w:val="28"/>
          <w:szCs w:val="28"/>
        </w:rPr>
      </w:pPr>
    </w:p>
    <w:p w14:paraId="292F3164">
      <w:pPr>
        <w:spacing w:before="156" w:beforeLines="50" w:after="156" w:afterLines="50" w:line="660" w:lineRule="exact"/>
        <w:ind w:firstLine="883"/>
        <w:jc w:val="center"/>
        <w:rPr>
          <w:rFonts w:eastAsia="方正小标宋简体"/>
          <w:sz w:val="44"/>
          <w:szCs w:val="44"/>
        </w:rPr>
        <w:sectPr>
          <w:footerReference r:id="rId3" w:type="default"/>
          <w:footerReference r:id="rId4" w:type="even"/>
          <w:pgSz w:w="11906" w:h="16838"/>
          <w:pgMar w:top="2098" w:right="1474" w:bottom="1984" w:left="1587" w:header="851" w:footer="992" w:gutter="0"/>
          <w:cols w:space="425" w:num="1"/>
          <w:titlePg/>
          <w:docGrid w:type="lines" w:linePitch="312" w:charSpace="0"/>
        </w:sectPr>
      </w:pPr>
    </w:p>
    <w:p w14:paraId="330A31FC">
      <w:pPr>
        <w:pStyle w:val="3"/>
        <w:spacing w:before="156" w:beforeLines="50" w:after="156" w:afterLines="50" w:line="360" w:lineRule="auto"/>
        <w:ind w:firstLine="640" w:firstLineChars="200"/>
        <w:rPr>
          <w:rFonts w:eastAsia="黑体"/>
          <w:b w:val="0"/>
          <w:bCs w:val="0"/>
        </w:rPr>
      </w:pPr>
      <w:bookmarkStart w:id="0" w:name="_Toc170369666"/>
      <w:r>
        <w:rPr>
          <w:rFonts w:hint="eastAsia" w:eastAsia="黑体"/>
          <w:b w:val="0"/>
          <w:bCs w:val="0"/>
        </w:rPr>
        <w:t>一、</w:t>
      </w:r>
      <w:r>
        <w:rPr>
          <w:rFonts w:eastAsia="黑体"/>
          <w:b w:val="0"/>
          <w:bCs w:val="0"/>
        </w:rPr>
        <w:t>范围</w:t>
      </w:r>
      <w:bookmarkEnd w:id="0"/>
    </w:p>
    <w:p w14:paraId="292C4F7D">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本文件规定了化妆品稳定性评价的试验要求、试验方法和结果评价。</w:t>
      </w:r>
    </w:p>
    <w:p w14:paraId="23F23811">
      <w:pPr>
        <w:pStyle w:val="3"/>
        <w:spacing w:before="156" w:beforeLines="50" w:after="156" w:afterLines="50" w:line="360" w:lineRule="auto"/>
        <w:ind w:firstLine="640" w:firstLineChars="200"/>
        <w:rPr>
          <w:rFonts w:eastAsia="黑体"/>
          <w:b w:val="0"/>
        </w:rPr>
      </w:pPr>
      <w:bookmarkStart w:id="1" w:name="_Toc170369667"/>
      <w:r>
        <w:rPr>
          <w:rFonts w:hint="eastAsia" w:eastAsia="黑体"/>
          <w:b w:val="0"/>
        </w:rPr>
        <w:t>二、</w:t>
      </w:r>
      <w:r>
        <w:rPr>
          <w:rFonts w:eastAsia="黑体"/>
          <w:b w:val="0"/>
        </w:rPr>
        <w:t>术语和释义</w:t>
      </w:r>
      <w:bookmarkEnd w:id="1"/>
    </w:p>
    <w:p w14:paraId="1E5DACDC">
      <w:pPr>
        <w:spacing w:line="660" w:lineRule="exact"/>
        <w:ind w:firstLine="643" w:firstLineChars="200"/>
        <w:rPr>
          <w:rFonts w:eastAsiaTheme="minorEastAsia"/>
          <w:bCs/>
          <w:szCs w:val="21"/>
        </w:rPr>
      </w:pPr>
      <w:r>
        <w:rPr>
          <w:rFonts w:eastAsia="楷体_GB2312"/>
          <w:b/>
          <w:sz w:val="32"/>
          <w:szCs w:val="32"/>
        </w:rPr>
        <w:t>（一）</w:t>
      </w:r>
      <w:r>
        <w:rPr>
          <w:rFonts w:hint="eastAsia" w:eastAsia="楷体_GB2312"/>
          <w:b/>
          <w:sz w:val="32"/>
          <w:szCs w:val="32"/>
        </w:rPr>
        <w:t>影响因素试验</w:t>
      </w:r>
    </w:p>
    <w:p w14:paraId="0ABD2EBF">
      <w:pPr>
        <w:overflowPunct w:val="0"/>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影响因素试验是在较极端的条件下进行，以了解影响化妆品质量稳定性的主要因素及可能发生的质量变化情况，为加速试验和长期试验条件提供参考。</w:t>
      </w:r>
    </w:p>
    <w:p w14:paraId="16B6F90E">
      <w:pPr>
        <w:spacing w:line="660" w:lineRule="exact"/>
        <w:ind w:firstLine="643" w:firstLineChars="200"/>
        <w:rPr>
          <w:rFonts w:eastAsiaTheme="minorEastAsia"/>
          <w:bCs/>
          <w:szCs w:val="21"/>
        </w:rPr>
      </w:pPr>
      <w:r>
        <w:rPr>
          <w:rFonts w:eastAsia="楷体_GB2312"/>
          <w:b/>
          <w:sz w:val="32"/>
          <w:szCs w:val="32"/>
        </w:rPr>
        <w:t>（</w:t>
      </w:r>
      <w:r>
        <w:rPr>
          <w:rFonts w:hint="eastAsia" w:eastAsia="楷体_GB2312"/>
          <w:b/>
          <w:sz w:val="32"/>
          <w:szCs w:val="32"/>
        </w:rPr>
        <w:t>二</w:t>
      </w:r>
      <w:r>
        <w:rPr>
          <w:rFonts w:eastAsia="楷体_GB2312"/>
          <w:b/>
          <w:sz w:val="32"/>
          <w:szCs w:val="32"/>
        </w:rPr>
        <w:t>）</w:t>
      </w:r>
      <w:r>
        <w:rPr>
          <w:rFonts w:hint="eastAsia" w:eastAsia="楷体_GB2312"/>
          <w:b/>
          <w:sz w:val="32"/>
          <w:szCs w:val="32"/>
        </w:rPr>
        <w:t>加速试验</w:t>
      </w:r>
    </w:p>
    <w:p w14:paraId="047D5340">
      <w:pPr>
        <w:overflowPunct w:val="0"/>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加速试验是在不同于长期贮存温度和湿度条件下，考察化妆品的稳定性，初步预测化妆品在规定的贮存条件下的质量保持趋势。</w:t>
      </w:r>
    </w:p>
    <w:p w14:paraId="56EF6476">
      <w:pPr>
        <w:spacing w:line="660" w:lineRule="exact"/>
        <w:ind w:firstLine="643" w:firstLineChars="200"/>
        <w:rPr>
          <w:rFonts w:eastAsiaTheme="minorEastAsia"/>
          <w:bCs/>
          <w:szCs w:val="21"/>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长期试验</w:t>
      </w:r>
    </w:p>
    <w:p w14:paraId="38EDF522">
      <w:pPr>
        <w:overflowPunct w:val="0"/>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长期试验是在设定贮存条件下考察</w:t>
      </w:r>
      <w:r>
        <w:rPr>
          <w:rFonts w:hint="eastAsia" w:eastAsia="仿宋_GB2312"/>
          <w:bCs/>
          <w:color w:val="FF0000"/>
          <w:kern w:val="0"/>
          <w:sz w:val="32"/>
          <w:szCs w:val="32"/>
        </w:rPr>
        <w:t>在运输、保存过程中</w:t>
      </w:r>
      <w:r>
        <w:rPr>
          <w:rFonts w:hint="eastAsia" w:eastAsia="仿宋_GB2312"/>
          <w:bCs/>
          <w:color w:val="000000"/>
          <w:kern w:val="0"/>
          <w:sz w:val="32"/>
          <w:szCs w:val="32"/>
        </w:rPr>
        <w:t>的化妆品稳定性，为确认贮存条件及保质期等提供依据。</w:t>
      </w:r>
    </w:p>
    <w:p w14:paraId="1BE1F345">
      <w:pPr>
        <w:pStyle w:val="3"/>
        <w:spacing w:before="156" w:beforeLines="50" w:after="156" w:afterLines="50" w:line="360" w:lineRule="auto"/>
        <w:ind w:firstLine="640" w:firstLineChars="200"/>
        <w:rPr>
          <w:rFonts w:eastAsia="黑体"/>
          <w:b w:val="0"/>
        </w:rPr>
      </w:pPr>
      <w:bookmarkStart w:id="2" w:name="_Toc170369668"/>
      <w:r>
        <w:rPr>
          <w:rFonts w:hint="eastAsia" w:eastAsia="黑体"/>
          <w:b w:val="0"/>
        </w:rPr>
        <w:t>三、试验要求</w:t>
      </w:r>
      <w:bookmarkEnd w:id="2"/>
    </w:p>
    <w:p w14:paraId="463E5058">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化妆品稳定性研究应结合原料的理化性质、产品形态、产品配方、工艺条件及包装材料等进行合理设计，可开展影响因素试验、加速试验和长期试验。</w:t>
      </w:r>
    </w:p>
    <w:p w14:paraId="5F9D153C">
      <w:pPr>
        <w:spacing w:line="660" w:lineRule="exact"/>
        <w:ind w:firstLine="643" w:firstLineChars="200"/>
        <w:rPr>
          <w:rFonts w:eastAsia="楷体_GB2312"/>
          <w:bCs/>
          <w:color w:val="000000"/>
          <w:kern w:val="0"/>
          <w:sz w:val="32"/>
          <w:szCs w:val="32"/>
        </w:rPr>
      </w:pPr>
      <w:r>
        <w:rPr>
          <w:rFonts w:eastAsia="楷体_GB2312"/>
          <w:b/>
          <w:sz w:val="32"/>
          <w:szCs w:val="32"/>
        </w:rPr>
        <w:t>（一）</w:t>
      </w:r>
      <w:r>
        <w:rPr>
          <w:rFonts w:hint="eastAsia" w:eastAsia="楷体_GB2312"/>
          <w:b/>
          <w:sz w:val="32"/>
          <w:szCs w:val="32"/>
        </w:rPr>
        <w:t>试验样品</w:t>
      </w:r>
    </w:p>
    <w:p w14:paraId="284493C3">
      <w:pPr>
        <w:widowControl/>
        <w:spacing w:line="560" w:lineRule="exact"/>
        <w:ind w:firstLine="640" w:firstLineChars="200"/>
        <w:rPr>
          <w:rFonts w:eastAsia="仿宋_GB2312"/>
          <w:bCs/>
          <w:color w:val="000000"/>
          <w:kern w:val="0"/>
          <w:sz w:val="32"/>
          <w:szCs w:val="32"/>
        </w:rPr>
      </w:pPr>
      <w:r>
        <w:rPr>
          <w:rFonts w:hint="eastAsia" w:eastAsia="仿宋_GB2312"/>
          <w:bCs/>
          <w:color w:val="FF0000"/>
          <w:kern w:val="0"/>
          <w:sz w:val="32"/>
          <w:szCs w:val="32"/>
        </w:rPr>
        <w:t>影响因素试验、加速试验和长期试验至少采用一批样品进行</w:t>
      </w:r>
      <w:r>
        <w:rPr>
          <w:rFonts w:hint="eastAsia" w:eastAsia="仿宋_GB2312"/>
          <w:bCs/>
          <w:color w:val="000000"/>
          <w:kern w:val="0"/>
          <w:sz w:val="32"/>
          <w:szCs w:val="32"/>
        </w:rPr>
        <w:t>。</w:t>
      </w:r>
    </w:p>
    <w:p w14:paraId="69E56812">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影响因素试验、加速试验用样品所用的产品配方、生产工艺、直接接触包装材料等原则上应与上市后的化妆品保持一致，长期试验用样品应与上市后的化妆品保持一致。</w:t>
      </w:r>
    </w:p>
    <w:p w14:paraId="20D65847">
      <w:pPr>
        <w:spacing w:line="660" w:lineRule="exact"/>
        <w:ind w:firstLine="643" w:firstLineChars="200"/>
        <w:rPr>
          <w:rFonts w:eastAsia="楷体_GB2312"/>
          <w:bCs/>
          <w:color w:val="000000"/>
          <w:kern w:val="0"/>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w:t>
      </w:r>
      <w:r>
        <w:rPr>
          <w:rFonts w:hint="eastAsia" w:eastAsia="楷体_GB2312"/>
          <w:b/>
          <w:sz w:val="32"/>
          <w:szCs w:val="32"/>
        </w:rPr>
        <w:t>试验项目</w:t>
      </w:r>
    </w:p>
    <w:p w14:paraId="5A05582F">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稳定性研究可根据化妆品特点和质量控制要求，选择在保存期间易于变化、并可能影响化妆品质量稳定的项目，以及依据产品形态、使用方式及贮存过程中存在的主要风险等增加试验项目，以便客观、全面地反映化妆品的稳定性。</w:t>
      </w:r>
    </w:p>
    <w:p w14:paraId="1A14EC5A">
      <w:pPr>
        <w:widowControl/>
        <w:spacing w:line="560" w:lineRule="exact"/>
        <w:ind w:firstLine="640" w:firstLineChars="200"/>
        <w:rPr>
          <w:rFonts w:eastAsia="仿宋_GB2312"/>
          <w:bCs/>
          <w:color w:val="000000"/>
          <w:kern w:val="0"/>
          <w:sz w:val="32"/>
          <w:szCs w:val="32"/>
        </w:rPr>
      </w:pPr>
      <w:r>
        <w:rPr>
          <w:rFonts w:hint="eastAsia" w:eastAsia="仿宋_GB2312"/>
          <w:bCs/>
          <w:color w:val="FF0000"/>
          <w:kern w:val="0"/>
          <w:sz w:val="32"/>
          <w:szCs w:val="32"/>
        </w:rPr>
        <w:t>稳定性研究试验项目一般可考察外观、颜色、气味、pH值、菌落总数、霉菌和酵母菌总数等，结合化妆品特点可进行离心考验、粘度、气密性能试验、跌落试验等。</w:t>
      </w:r>
    </w:p>
    <w:p w14:paraId="2FBBF40A">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应根据样品的不同性状和考察目的，结合化妆品的配方、工艺、理化性质和感观等选择专属性强、准确、灵敏的分析方法，必要时需开展方法学验证，以保证稳定性检测结果的可靠性。</w:t>
      </w:r>
    </w:p>
    <w:p w14:paraId="588DF813">
      <w:pPr>
        <w:spacing w:line="660" w:lineRule="exact"/>
        <w:ind w:firstLine="643" w:firstLineChars="200"/>
        <w:rPr>
          <w:rFonts w:eastAsia="楷体_GB2312"/>
          <w:bCs/>
          <w:color w:val="000000"/>
          <w:kern w:val="0"/>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试验频率</w:t>
      </w:r>
    </w:p>
    <w:p w14:paraId="5972E5F0">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试验频率可根据试验项目确定，但需提供具体的检测频率及检测频率确定的依据。</w:t>
      </w:r>
    </w:p>
    <w:p w14:paraId="27EC1DC0">
      <w:pPr>
        <w:pStyle w:val="3"/>
        <w:spacing w:before="156" w:beforeLines="50" w:after="156" w:afterLines="50" w:line="360" w:lineRule="auto"/>
        <w:ind w:firstLine="640" w:firstLineChars="200"/>
        <w:rPr>
          <w:rFonts w:eastAsia="黑体"/>
          <w:b w:val="0"/>
        </w:rPr>
      </w:pPr>
      <w:bookmarkStart w:id="3" w:name="_Toc170369669"/>
      <w:r>
        <w:rPr>
          <w:rFonts w:hint="eastAsia" w:eastAsia="黑体"/>
          <w:b w:val="0"/>
        </w:rPr>
        <w:t>四、试验方法</w:t>
      </w:r>
      <w:bookmarkEnd w:id="3"/>
    </w:p>
    <w:p w14:paraId="283E285E">
      <w:pPr>
        <w:spacing w:line="660" w:lineRule="exact"/>
        <w:ind w:firstLine="643" w:firstLineChars="200"/>
        <w:rPr>
          <w:rFonts w:eastAsia="楷体_GB2312"/>
          <w:bCs/>
          <w:color w:val="000000"/>
          <w:kern w:val="0"/>
          <w:sz w:val="32"/>
          <w:szCs w:val="32"/>
        </w:rPr>
      </w:pPr>
      <w:r>
        <w:rPr>
          <w:rFonts w:eastAsia="楷体_GB2312"/>
          <w:b/>
          <w:sz w:val="32"/>
          <w:szCs w:val="32"/>
        </w:rPr>
        <w:t>（一）</w:t>
      </w:r>
      <w:r>
        <w:rPr>
          <w:rFonts w:hint="eastAsia" w:eastAsia="楷体_GB2312"/>
          <w:b/>
          <w:sz w:val="32"/>
          <w:szCs w:val="32"/>
        </w:rPr>
        <w:t>影响因素试验</w:t>
      </w:r>
    </w:p>
    <w:p w14:paraId="739F5AEA">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影响因素试验一般可开展高温试验、高湿试验、光照试验、冻融试验。根据化妆品特性、包装材料、贮存条件及不同的气候条件等因素综合决定是否开展及开展的影响因素试验种类，确定试验条件，应当提供试验条件设置依据、考察时间确定依据及相关数据材料。</w:t>
      </w:r>
    </w:p>
    <w:p w14:paraId="436FA8C3">
      <w:pPr>
        <w:spacing w:line="660" w:lineRule="exact"/>
        <w:ind w:firstLine="643" w:firstLineChars="200"/>
        <w:rPr>
          <w:rFonts w:eastAsia="楷体_GB2312"/>
          <w:bCs/>
          <w:color w:val="000000"/>
          <w:kern w:val="0"/>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w:t>
      </w:r>
      <w:r>
        <w:rPr>
          <w:rFonts w:hint="eastAsia" w:eastAsia="楷体_GB2312"/>
          <w:b/>
          <w:sz w:val="32"/>
          <w:szCs w:val="32"/>
        </w:rPr>
        <w:t>加速试验</w:t>
      </w:r>
    </w:p>
    <w:p w14:paraId="2DAA0E18">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加速试验条件根据化妆品特性、包装材料等因素确定，应当</w:t>
      </w:r>
      <w:r>
        <w:rPr>
          <w:rFonts w:hint="eastAsia" w:eastAsia="仿宋_GB2312"/>
          <w:bCs/>
          <w:color w:val="FF0000"/>
          <w:kern w:val="0"/>
          <w:sz w:val="32"/>
          <w:szCs w:val="32"/>
        </w:rPr>
        <w:t>提供加速试验条件设置依据、考察时间确定依据及相关数据材料</w:t>
      </w:r>
      <w:r>
        <w:rPr>
          <w:rFonts w:hint="eastAsia" w:eastAsia="仿宋_GB2312"/>
          <w:bCs/>
          <w:color w:val="000000"/>
          <w:kern w:val="0"/>
          <w:sz w:val="32"/>
          <w:szCs w:val="32"/>
        </w:rPr>
        <w:t>。</w:t>
      </w:r>
    </w:p>
    <w:p w14:paraId="6FEB6C9B">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加速</w:t>
      </w:r>
      <w:bookmarkStart w:id="6" w:name="_GoBack"/>
      <w:bookmarkEnd w:id="6"/>
      <w:r>
        <w:rPr>
          <w:rFonts w:hint="eastAsia" w:eastAsia="仿宋_GB2312"/>
          <w:bCs/>
          <w:color w:val="000000"/>
          <w:kern w:val="0"/>
          <w:sz w:val="32"/>
          <w:szCs w:val="32"/>
        </w:rPr>
        <w:t>试验在一定温度、湿度（如40℃±2℃、75%RH±5% RH）试验条件下，需设置多个试验时间点研究化妆品的质量变化，时间点可根据化妆品特性及试验结果科学设计。</w:t>
      </w:r>
    </w:p>
    <w:p w14:paraId="35B277DC">
      <w:pPr>
        <w:spacing w:line="660" w:lineRule="exact"/>
        <w:ind w:firstLine="643" w:firstLineChars="200"/>
        <w:rPr>
          <w:rFonts w:eastAsia="楷体_GB2312"/>
          <w:b/>
          <w:color w:val="000000"/>
          <w:kern w:val="0"/>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长期试验</w:t>
      </w:r>
    </w:p>
    <w:p w14:paraId="1AAD0F03">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长期试验条件根据化妆品特性、包装材料等因素确定，应当提供长期试验条件设置依据、考察时间确定依据及相关数据材料。</w:t>
      </w:r>
    </w:p>
    <w:p w14:paraId="7C25A2A1">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长期试验在一定温度、湿度（如25℃±2℃、60％RH±10％RH）试验条件下，需设置多个试验时间点研究化妆品的质量变化，时间点可根据化妆品特性及试验结果科学设计。</w:t>
      </w:r>
    </w:p>
    <w:p w14:paraId="4ADCF1B3">
      <w:pPr>
        <w:pStyle w:val="3"/>
        <w:spacing w:before="156" w:beforeLines="50" w:after="156" w:afterLines="50" w:line="360" w:lineRule="auto"/>
        <w:ind w:firstLine="640" w:firstLineChars="200"/>
        <w:rPr>
          <w:rFonts w:eastAsia="黑体"/>
          <w:b w:val="0"/>
        </w:rPr>
      </w:pPr>
      <w:bookmarkStart w:id="4" w:name="_Toc170369670"/>
      <w:r>
        <w:rPr>
          <w:rFonts w:hint="eastAsia" w:eastAsia="黑体"/>
          <w:b w:val="0"/>
        </w:rPr>
        <w:t>五、结果评价</w:t>
      </w:r>
      <w:bookmarkEnd w:id="4"/>
    </w:p>
    <w:p w14:paraId="19313992">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对化妆品稳定性研究结果进行系统分析，并结合化妆品的理化性质、产品形态、产品配方、工艺条件、包装材料等以及化妆品在生产、流通过程中可能遇到的情况，进行综合研判，提供评价依据及结论，形成稳定性评价报告。</w:t>
      </w:r>
    </w:p>
    <w:p w14:paraId="0390DE96">
      <w:pPr>
        <w:pStyle w:val="3"/>
        <w:spacing w:before="156" w:beforeLines="50" w:after="156" w:afterLines="50" w:line="360" w:lineRule="auto"/>
        <w:ind w:firstLine="640" w:firstLineChars="200"/>
        <w:rPr>
          <w:rFonts w:eastAsia="黑体"/>
          <w:b w:val="0"/>
        </w:rPr>
      </w:pPr>
      <w:bookmarkStart w:id="5" w:name="_Toc170369671"/>
      <w:r>
        <w:rPr>
          <w:rFonts w:hint="eastAsia" w:eastAsia="黑体"/>
          <w:b w:val="0"/>
        </w:rPr>
        <w:t>六、说明</w:t>
      </w:r>
      <w:bookmarkEnd w:id="5"/>
    </w:p>
    <w:p w14:paraId="4B4511CC">
      <w:pPr>
        <w:widowControl/>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化妆品注册人、备案人可以依据国家标准、技术规范、行业标准、国际标准、本技术指南或自建方法开展相关研究，并在安全评估报告中提交相关测试或者评估结论。</w:t>
      </w:r>
    </w:p>
    <w:p w14:paraId="09C6DB7B">
      <w:pPr>
        <w:widowControl/>
        <w:spacing w:line="560" w:lineRule="exact"/>
        <w:rPr>
          <w:rFonts w:eastAsia="仿宋_GB2312"/>
          <w:bCs/>
          <w:color w:val="000000"/>
          <w:kern w:val="0"/>
          <w:sz w:val="32"/>
          <w:szCs w:val="32"/>
        </w:rPr>
      </w:pPr>
    </w:p>
    <w:sectPr>
      <w:footerReference r:id="rId7" w:type="first"/>
      <w:footerReference r:id="rId5" w:type="default"/>
      <w:footerReference r:id="rId6" w:type="even"/>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928406"/>
      <w:docPartObj>
        <w:docPartGallery w:val="AutoText"/>
      </w:docPartObj>
    </w:sdtPr>
    <w:sdtContent>
      <w:p w14:paraId="46E558EB">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p>
    </w:sdtContent>
  </w:sdt>
  <w:p w14:paraId="5CC73CD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D218">
    <w:pPr>
      <w:pStyle w:val="8"/>
    </w:pPr>
  </w:p>
  <w:p w14:paraId="0B36650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1CC3">
    <w:pPr>
      <w:pStyle w:val="8"/>
    </w:pPr>
    <w:sdt>
      <w:sdtPr>
        <w:id w:val="-1783257587"/>
        <w:docPartObj>
          <w:docPartGallery w:val="AutoText"/>
        </w:docPartObj>
      </w:sdtPr>
      <w:sdtContent>
        <w:r>
          <w:rPr>
            <w:rFonts w:hint="eastAsia"/>
          </w:rPr>
          <w:t xml:space="preserve">— </w:t>
        </w:r>
        <w:r>
          <w:fldChar w:fldCharType="begin"/>
        </w:r>
        <w:r>
          <w:instrText xml:space="preserve">PAGE   \* MERGEFORMAT</w:instrText>
        </w:r>
        <w:r>
          <w:fldChar w:fldCharType="separate"/>
        </w:r>
        <w:r>
          <w:rPr>
            <w:lang w:val="zh-CN"/>
          </w:rPr>
          <w:t>2</w:t>
        </w:r>
        <w:r>
          <w:fldChar w:fldCharType="end"/>
        </w:r>
      </w:sdtContent>
    </w:sdt>
    <w:r>
      <w:rPr>
        <w:rFonts w:hint="eastAsia"/>
      </w:rPr>
      <w:t xml:space="preserve"> —</w:t>
    </w:r>
  </w:p>
  <w:p w14:paraId="5B56CF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682874"/>
      <w:docPartObj>
        <w:docPartGallery w:val="AutoText"/>
      </w:docPartObj>
    </w:sdtPr>
    <w:sdtContent>
      <w:p w14:paraId="43030FD3">
        <w:pPr>
          <w:pStyle w:val="8"/>
          <w:ind w:right="1120"/>
          <w:jc w:val="both"/>
        </w:pPr>
        <w: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sdtContent>
  </w:sdt>
  <w:p w14:paraId="3F7089ED">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EF52">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MDgzNzZjNjJjMGZiZjgzNGJlOTZhNGZkZjljZjIifQ=="/>
  </w:docVars>
  <w:rsids>
    <w:rsidRoot w:val="00951764"/>
    <w:rsid w:val="00012CA8"/>
    <w:rsid w:val="000514DC"/>
    <w:rsid w:val="000C3E76"/>
    <w:rsid w:val="000D6A1F"/>
    <w:rsid w:val="000E7289"/>
    <w:rsid w:val="000F52D7"/>
    <w:rsid w:val="00116713"/>
    <w:rsid w:val="00117164"/>
    <w:rsid w:val="00153235"/>
    <w:rsid w:val="0015431C"/>
    <w:rsid w:val="001565DA"/>
    <w:rsid w:val="001A1DF2"/>
    <w:rsid w:val="001B3A02"/>
    <w:rsid w:val="001E2E9A"/>
    <w:rsid w:val="001F17D5"/>
    <w:rsid w:val="00286972"/>
    <w:rsid w:val="002A49B6"/>
    <w:rsid w:val="002B7073"/>
    <w:rsid w:val="002D1E05"/>
    <w:rsid w:val="003305A7"/>
    <w:rsid w:val="00351198"/>
    <w:rsid w:val="003624CE"/>
    <w:rsid w:val="003817A9"/>
    <w:rsid w:val="00384811"/>
    <w:rsid w:val="003C536E"/>
    <w:rsid w:val="0041765E"/>
    <w:rsid w:val="004357CC"/>
    <w:rsid w:val="00482E82"/>
    <w:rsid w:val="004C3737"/>
    <w:rsid w:val="00517E45"/>
    <w:rsid w:val="0055425F"/>
    <w:rsid w:val="00561909"/>
    <w:rsid w:val="005B4A26"/>
    <w:rsid w:val="005C4BAC"/>
    <w:rsid w:val="005D1799"/>
    <w:rsid w:val="00602A97"/>
    <w:rsid w:val="00631CBB"/>
    <w:rsid w:val="00632901"/>
    <w:rsid w:val="0064688D"/>
    <w:rsid w:val="0068132E"/>
    <w:rsid w:val="006E0041"/>
    <w:rsid w:val="007738E4"/>
    <w:rsid w:val="007B2E1A"/>
    <w:rsid w:val="007F2922"/>
    <w:rsid w:val="00804C74"/>
    <w:rsid w:val="00820109"/>
    <w:rsid w:val="00854333"/>
    <w:rsid w:val="008B3E92"/>
    <w:rsid w:val="008C5EC9"/>
    <w:rsid w:val="00925258"/>
    <w:rsid w:val="00951764"/>
    <w:rsid w:val="009A1A4E"/>
    <w:rsid w:val="009C758E"/>
    <w:rsid w:val="00A16E81"/>
    <w:rsid w:val="00A24371"/>
    <w:rsid w:val="00A417AC"/>
    <w:rsid w:val="00A6014F"/>
    <w:rsid w:val="00AA05EF"/>
    <w:rsid w:val="00AB7D67"/>
    <w:rsid w:val="00AC3D5C"/>
    <w:rsid w:val="00AD44A9"/>
    <w:rsid w:val="00AF4E13"/>
    <w:rsid w:val="00AF6F66"/>
    <w:rsid w:val="00AF704E"/>
    <w:rsid w:val="00B245C2"/>
    <w:rsid w:val="00B30809"/>
    <w:rsid w:val="00B601D8"/>
    <w:rsid w:val="00B85D23"/>
    <w:rsid w:val="00BF7F9C"/>
    <w:rsid w:val="00C44BE8"/>
    <w:rsid w:val="00C45531"/>
    <w:rsid w:val="00C719CF"/>
    <w:rsid w:val="00C85EED"/>
    <w:rsid w:val="00CE417D"/>
    <w:rsid w:val="00D534C8"/>
    <w:rsid w:val="00D87FEB"/>
    <w:rsid w:val="00DA272D"/>
    <w:rsid w:val="00DC5443"/>
    <w:rsid w:val="00DF43A7"/>
    <w:rsid w:val="00E42838"/>
    <w:rsid w:val="00E6019F"/>
    <w:rsid w:val="00EC4760"/>
    <w:rsid w:val="00ED3C87"/>
    <w:rsid w:val="00EF0391"/>
    <w:rsid w:val="00EF3FD6"/>
    <w:rsid w:val="00F01AED"/>
    <w:rsid w:val="00F03E78"/>
    <w:rsid w:val="00F06D2C"/>
    <w:rsid w:val="00F143D0"/>
    <w:rsid w:val="00F641CF"/>
    <w:rsid w:val="00F71D40"/>
    <w:rsid w:val="00F72008"/>
    <w:rsid w:val="00F930A5"/>
    <w:rsid w:val="00FA7693"/>
    <w:rsid w:val="00FB63E2"/>
    <w:rsid w:val="00FE6E43"/>
    <w:rsid w:val="01042CD0"/>
    <w:rsid w:val="02547E40"/>
    <w:rsid w:val="026A20D9"/>
    <w:rsid w:val="02DE0B89"/>
    <w:rsid w:val="04025EC5"/>
    <w:rsid w:val="040525E1"/>
    <w:rsid w:val="060519C4"/>
    <w:rsid w:val="068E5516"/>
    <w:rsid w:val="06CC603E"/>
    <w:rsid w:val="07027CB2"/>
    <w:rsid w:val="07505003"/>
    <w:rsid w:val="08AE00F1"/>
    <w:rsid w:val="0AA11330"/>
    <w:rsid w:val="0D5174F0"/>
    <w:rsid w:val="0F360E40"/>
    <w:rsid w:val="0F76748F"/>
    <w:rsid w:val="10671C04"/>
    <w:rsid w:val="12696E37"/>
    <w:rsid w:val="12EE319F"/>
    <w:rsid w:val="150C68CB"/>
    <w:rsid w:val="160A7210"/>
    <w:rsid w:val="177E15D6"/>
    <w:rsid w:val="17E628FC"/>
    <w:rsid w:val="18AC5CCF"/>
    <w:rsid w:val="18F564F4"/>
    <w:rsid w:val="194B2D22"/>
    <w:rsid w:val="19C84D8B"/>
    <w:rsid w:val="1A996952"/>
    <w:rsid w:val="1ABF618E"/>
    <w:rsid w:val="1B655A88"/>
    <w:rsid w:val="1C091F20"/>
    <w:rsid w:val="1E4824F1"/>
    <w:rsid w:val="1F816E36"/>
    <w:rsid w:val="210448FA"/>
    <w:rsid w:val="210E7527"/>
    <w:rsid w:val="223E208E"/>
    <w:rsid w:val="23AA2793"/>
    <w:rsid w:val="25495AA4"/>
    <w:rsid w:val="27321107"/>
    <w:rsid w:val="27E04B37"/>
    <w:rsid w:val="28657F61"/>
    <w:rsid w:val="28702875"/>
    <w:rsid w:val="2C7F3F4A"/>
    <w:rsid w:val="2EB50069"/>
    <w:rsid w:val="2FB80F7D"/>
    <w:rsid w:val="2FD14FAE"/>
    <w:rsid w:val="30C776F3"/>
    <w:rsid w:val="316D3DD0"/>
    <w:rsid w:val="32CF5408"/>
    <w:rsid w:val="32DD31FD"/>
    <w:rsid w:val="3545231A"/>
    <w:rsid w:val="359F5681"/>
    <w:rsid w:val="374E46CA"/>
    <w:rsid w:val="376402D3"/>
    <w:rsid w:val="37D921E5"/>
    <w:rsid w:val="383D293E"/>
    <w:rsid w:val="396F26D5"/>
    <w:rsid w:val="3A5D49E6"/>
    <w:rsid w:val="3B7C7A57"/>
    <w:rsid w:val="3E0E6961"/>
    <w:rsid w:val="3F5D6C3B"/>
    <w:rsid w:val="3FB13A48"/>
    <w:rsid w:val="3FD47DDC"/>
    <w:rsid w:val="41200E85"/>
    <w:rsid w:val="413D1A37"/>
    <w:rsid w:val="416C5E78"/>
    <w:rsid w:val="41BA25AE"/>
    <w:rsid w:val="43CC52F4"/>
    <w:rsid w:val="44004F9E"/>
    <w:rsid w:val="440E76BA"/>
    <w:rsid w:val="45D4223E"/>
    <w:rsid w:val="478D5A08"/>
    <w:rsid w:val="48A71E8C"/>
    <w:rsid w:val="4B5C49BE"/>
    <w:rsid w:val="4BB476E6"/>
    <w:rsid w:val="4C1F0E41"/>
    <w:rsid w:val="4C8C5620"/>
    <w:rsid w:val="4CA0241C"/>
    <w:rsid w:val="4EAA1D1E"/>
    <w:rsid w:val="4FD01CC8"/>
    <w:rsid w:val="4FEA754B"/>
    <w:rsid w:val="505D404B"/>
    <w:rsid w:val="509C36BA"/>
    <w:rsid w:val="50FB2D75"/>
    <w:rsid w:val="5198085A"/>
    <w:rsid w:val="56332FB1"/>
    <w:rsid w:val="570E6FE0"/>
    <w:rsid w:val="575032D9"/>
    <w:rsid w:val="575E22AF"/>
    <w:rsid w:val="580E03AC"/>
    <w:rsid w:val="58847AF3"/>
    <w:rsid w:val="58BD4DB3"/>
    <w:rsid w:val="59A33FA9"/>
    <w:rsid w:val="5A04713E"/>
    <w:rsid w:val="5AD15E6B"/>
    <w:rsid w:val="5B4E5874"/>
    <w:rsid w:val="5D1E0517"/>
    <w:rsid w:val="5DD443A6"/>
    <w:rsid w:val="5FD44EBD"/>
    <w:rsid w:val="600643E6"/>
    <w:rsid w:val="60857A46"/>
    <w:rsid w:val="60A73A04"/>
    <w:rsid w:val="60EF4DCF"/>
    <w:rsid w:val="62E01DCA"/>
    <w:rsid w:val="63174F69"/>
    <w:rsid w:val="64393E88"/>
    <w:rsid w:val="645F4AC0"/>
    <w:rsid w:val="647A035F"/>
    <w:rsid w:val="64C077D1"/>
    <w:rsid w:val="65654809"/>
    <w:rsid w:val="65664FB4"/>
    <w:rsid w:val="66156921"/>
    <w:rsid w:val="6650488C"/>
    <w:rsid w:val="677B6565"/>
    <w:rsid w:val="69601EB7"/>
    <w:rsid w:val="69E51C4B"/>
    <w:rsid w:val="6AE962A4"/>
    <w:rsid w:val="6AF0107A"/>
    <w:rsid w:val="6D0B3EE8"/>
    <w:rsid w:val="6D301BA0"/>
    <w:rsid w:val="6FEF297B"/>
    <w:rsid w:val="73893027"/>
    <w:rsid w:val="73F73418"/>
    <w:rsid w:val="74567B8A"/>
    <w:rsid w:val="74A013B9"/>
    <w:rsid w:val="7507768A"/>
    <w:rsid w:val="7524023C"/>
    <w:rsid w:val="7544095E"/>
    <w:rsid w:val="75EC5447"/>
    <w:rsid w:val="766A47F1"/>
    <w:rsid w:val="769F265D"/>
    <w:rsid w:val="76FB1FD8"/>
    <w:rsid w:val="7B177307"/>
    <w:rsid w:val="7B2A25EC"/>
    <w:rsid w:val="7C0861C2"/>
    <w:rsid w:val="7D0D7808"/>
    <w:rsid w:val="7DA97ECF"/>
    <w:rsid w:val="7DFD63D5"/>
    <w:rsid w:val="7E521976"/>
    <w:rsid w:val="7EC7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0"/>
    <w:pPr>
      <w:keepNext/>
      <w:keepLines/>
      <w:spacing w:line="360" w:lineRule="auto"/>
      <w:outlineLvl w:val="2"/>
    </w:pPr>
    <w:rPr>
      <w:b/>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autoRedefine/>
    <w:semiHidden/>
    <w:unhideWhenUsed/>
    <w:qFormat/>
    <w:uiPriority w:val="99"/>
    <w:pPr>
      <w:jc w:val="left"/>
    </w:pPr>
  </w:style>
  <w:style w:type="paragraph" w:styleId="6">
    <w:name w:val="Body Text Indent"/>
    <w:basedOn w:val="1"/>
    <w:unhideWhenUsed/>
    <w:qFormat/>
    <w:uiPriority w:val="99"/>
    <w:pPr>
      <w:spacing w:after="120"/>
      <w:ind w:left="420" w:leftChars="200"/>
    </w:pPr>
  </w:style>
  <w:style w:type="paragraph" w:styleId="7">
    <w:name w:val="Balloon Text"/>
    <w:basedOn w:val="1"/>
    <w:link w:val="19"/>
    <w:semiHidden/>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right"/>
    </w:pPr>
    <w:rPr>
      <w:rFonts w:asciiTheme="minorEastAsia" w:hAnsiTheme="minorEastAsia" w:eastAsiaTheme="minorEastAsia"/>
      <w:sz w:val="28"/>
      <w:szCs w:val="28"/>
    </w:rPr>
  </w:style>
  <w:style w:type="paragraph" w:styleId="9">
    <w:name w:val="header"/>
    <w:basedOn w:val="1"/>
    <w:link w:val="2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28"/>
    </w:rPr>
  </w:style>
  <w:style w:type="paragraph" w:styleId="10">
    <w:name w:val="toc 1"/>
    <w:basedOn w:val="1"/>
    <w:next w:val="1"/>
    <w:unhideWhenUsed/>
    <w:qFormat/>
    <w:uiPriority w:val="39"/>
    <w:pPr>
      <w:tabs>
        <w:tab w:val="right" w:leader="dot" w:pos="8296"/>
      </w:tabs>
    </w:pPr>
  </w:style>
  <w:style w:type="paragraph" w:styleId="11">
    <w:name w:val="toc 2"/>
    <w:basedOn w:val="1"/>
    <w:next w:val="1"/>
    <w:autoRedefine/>
    <w:unhideWhenUsed/>
    <w:uiPriority w:val="39"/>
    <w:pPr>
      <w:tabs>
        <w:tab w:val="right" w:leader="dot" w:pos="8835"/>
      </w:tabs>
      <w:ind w:left="420" w:leftChars="200"/>
    </w:pPr>
    <w:rPr>
      <w:rFonts w:ascii="黑体" w:hAnsi="黑体" w:eastAsia="黑体"/>
      <w:sz w:val="32"/>
      <w:szCs w:val="32"/>
    </w:rPr>
  </w:style>
  <w:style w:type="paragraph" w:styleId="12">
    <w:name w:val="annotation subject"/>
    <w:basedOn w:val="5"/>
    <w:next w:val="5"/>
    <w:link w:val="21"/>
    <w:autoRedefine/>
    <w:semiHidden/>
    <w:unhideWhenUsed/>
    <w:qFormat/>
    <w:uiPriority w:val="99"/>
    <w:rPr>
      <w:b/>
      <w:bCs/>
    </w:rPr>
  </w:style>
  <w:style w:type="paragraph" w:styleId="13">
    <w:name w:val="Body Text First Indent 2"/>
    <w:basedOn w:val="6"/>
    <w:unhideWhenUsed/>
    <w:qFormat/>
    <w:uiPriority w:val="99"/>
    <w:pPr>
      <w:ind w:firstLine="420" w:firstLineChars="200"/>
    </w:p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autoRedefine/>
    <w:semiHidden/>
    <w:unhideWhenUsed/>
    <w:qFormat/>
    <w:uiPriority w:val="99"/>
    <w:rPr>
      <w:sz w:val="21"/>
      <w:szCs w:val="21"/>
    </w:rPr>
  </w:style>
  <w:style w:type="character" w:customStyle="1" w:styleId="19">
    <w:name w:val="批注框文本 字符"/>
    <w:basedOn w:val="16"/>
    <w:link w:val="7"/>
    <w:autoRedefine/>
    <w:semiHidden/>
    <w:qFormat/>
    <w:uiPriority w:val="99"/>
    <w:rPr>
      <w:kern w:val="2"/>
      <w:sz w:val="18"/>
      <w:szCs w:val="18"/>
    </w:rPr>
  </w:style>
  <w:style w:type="character" w:customStyle="1" w:styleId="20">
    <w:name w:val="批注文字 字符"/>
    <w:basedOn w:val="16"/>
    <w:link w:val="5"/>
    <w:autoRedefine/>
    <w:semiHidden/>
    <w:qFormat/>
    <w:uiPriority w:val="99"/>
    <w:rPr>
      <w:kern w:val="2"/>
      <w:sz w:val="21"/>
      <w:szCs w:val="24"/>
    </w:rPr>
  </w:style>
  <w:style w:type="character" w:customStyle="1" w:styleId="21">
    <w:name w:val="批注主题 字符"/>
    <w:basedOn w:val="20"/>
    <w:link w:val="12"/>
    <w:autoRedefine/>
    <w:semiHidden/>
    <w:qFormat/>
    <w:uiPriority w:val="99"/>
    <w:rPr>
      <w:b/>
      <w:bCs/>
      <w:kern w:val="2"/>
      <w:sz w:val="21"/>
      <w:szCs w:val="24"/>
    </w:rPr>
  </w:style>
  <w:style w:type="paragraph" w:customStyle="1" w:styleId="22">
    <w:name w:val="TOC 标题1"/>
    <w:basedOn w:val="2"/>
    <w:next w:val="1"/>
    <w:autoRedefine/>
    <w:unhideWhenUsed/>
    <w:qFormat/>
    <w:uiPriority w:val="39"/>
    <w:pPr>
      <w:widowControl/>
      <w:spacing w:before="0" w:after="312" w:line="700" w:lineRule="exact"/>
      <w:ind w:firstLine="641"/>
      <w:jc w:val="center"/>
      <w:outlineLvl w:val="9"/>
    </w:pPr>
    <w:rPr>
      <w:b w:val="0"/>
      <w:bCs w:val="0"/>
      <w:color w:val="000000" w:themeColor="text1"/>
      <w:kern w:val="2"/>
      <w:sz w:val="21"/>
      <w:szCs w:val="22"/>
      <w:lang w:val="zh-CN"/>
      <w14:textFill>
        <w14:solidFill>
          <w14:schemeClr w14:val="tx1"/>
        </w14:solidFill>
      </w14:textFill>
    </w:rPr>
  </w:style>
  <w:style w:type="character" w:customStyle="1" w:styleId="23">
    <w:name w:val="页脚 字符1"/>
    <w:link w:val="8"/>
    <w:uiPriority w:val="99"/>
    <w:rPr>
      <w:rFonts w:asciiTheme="minorEastAsia" w:hAnsiTheme="minorEastAsia" w:eastAsiaTheme="minorEastAsia"/>
      <w:kern w:val="2"/>
      <w:sz w:val="28"/>
      <w:szCs w:val="28"/>
    </w:rPr>
  </w:style>
  <w:style w:type="character" w:customStyle="1" w:styleId="24">
    <w:name w:val="页脚 字符"/>
    <w:basedOn w:val="16"/>
    <w:uiPriority w:val="99"/>
  </w:style>
  <w:style w:type="character" w:customStyle="1" w:styleId="25">
    <w:name w:val="标题 2 字符"/>
    <w:basedOn w:val="16"/>
    <w:link w:val="3"/>
    <w:uiPriority w:val="9"/>
    <w:rPr>
      <w:rFonts w:asciiTheme="majorHAnsi" w:hAnsiTheme="majorHAnsi" w:eastAsiaTheme="majorEastAsia" w:cstheme="majorBidi"/>
      <w:b/>
      <w:bCs/>
      <w:kern w:val="2"/>
      <w:sz w:val="32"/>
      <w:szCs w:val="32"/>
    </w:rPr>
  </w:style>
  <w:style w:type="character" w:customStyle="1" w:styleId="26">
    <w:name w:val="页眉 字符"/>
    <w:basedOn w:val="16"/>
    <w:link w:val="9"/>
    <w:uiPriority w:val="99"/>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DC4C-FF27-4162-AD9C-66D3CB328E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1374</Words>
  <Characters>1387</Characters>
  <Lines>13</Lines>
  <Paragraphs>3</Paragraphs>
  <TotalTime>78</TotalTime>
  <ScaleCrop>false</ScaleCrop>
  <LinksUpToDate>false</LinksUpToDate>
  <CharactersWithSpaces>1408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2024-06-06T04:05:00Z</dcterms:created>
  <dc:creator>冯克然</dc:creator>
  <cp:lastModifiedBy>River Wu</cp:lastModifiedBy>
  <cp:lastPrinted>2024-06-06T06:31:00Z</cp:lastPrinted>
  <dcterms:modified xsi:type="dcterms:W3CDTF">2024-07-09T05:39:02Z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14BB28188E5D4F8A91658D0CDE05C3AB_13</vt:lpwstr>
  </property>
</Properties>
</file>